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VR3 2023 87 vom 10. Dezember 2024</w:t>
      </w:r>
    </w:p>
    <w:p>
      <w:r>
        <w:t>GR Gerichte, 2024-12-10, DE</w:t>
      </w:r>
    </w:p>
    <w:p>
      <w:r>
        <w:rPr>
          <w:b/>
        </w:rPr>
        <w:t xml:space="preserve">Quelle: </w:t>
      </w:r>
      <w:r>
        <w:t>https://mcp.opencaselaw.ch/entscheid/gr_gerichte_VR3 2023 87</w:t>
      </w:r>
    </w:p>
    <w:p>
      <w:r>
        <w:t>FR: GR_GERICHTE VR3 2023 87 du 10 décembre 2024</w:t>
      </w:r>
    </w:p>
    <w:p>
      <w:r>
        <w:t>IT: GR_GERICHTE VR3 2023 87 del 10 dicembre 2024</w:t>
      </w:r>
    </w:p>
    <w:p>
      <w:pPr>
        <w:pStyle w:val="Heading2"/>
      </w:pPr>
      <w:r>
        <w:t>Regeste</w:t>
      </w:r>
    </w:p>
    <w:p>
      <w:r>
        <w:t>Baugesuch | Baurecht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Zu den Kosten- und Entschädigungsfolgen des Gerichtsverfahrens</w:t>
      </w:r>
    </w:p>
    <w:p>
      <w:r>
        <w:rPr>
          <w:b/>
        </w:rPr>
        <w:t>E. 8.1</w:t>
      </w:r>
    </w:p>
    <w:p>
      <w:r>
        <w:t>Gestützt auf Art. 73 Abs.1 VRG sind die Verfahrenskosten, bestehend aus der Staatsgebühr und den Kanzleiauslagen (Art. 75 Abs. 1 VRG), der unterliegenden Beschwerdeführerin aufzuerlegen, wobei die Eigentümer der STWEG untereinander solidarisch haften (Art. 72 Abs. 2 VRG). Die Staatsgebühr wird dabei nach Ermessen des Gerichts, unter Berücksichtigung des zweifachen Schriftenwechsels sowie eines Augenscheins durch das Gericht, auf CHF 5'000.00, zzgl. Kanzleiauslagen, festgesetzt.</w:t>
      </w:r>
    </w:p>
    <w:p>
      <w:r>
        <w:rPr>
          <w:b/>
        </w:rPr>
        <w:t>E. 8.2</w:t>
      </w:r>
    </w:p>
    <w:p>
      <w:r>
        <w:t>Der Beschwerdegegnerin steht von Gesetzes wegen keine aussergerichtliche (Partei-)Entschädigung zu, weil sie lediglich im Rahmen ihres amtlichen Wirkungskreises obsiegt hat (Art. 78 Abs. 2 VRG).</w:t>
      </w:r>
    </w:p>
    <w:p>
      <w:r>
        <w:t>- 34 - III.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